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2672A8C9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6584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854BD">
        <w:rPr>
          <w:rFonts w:ascii="Times New Roman" w:eastAsia="Times New Roman" w:hAnsi="Times New Roman"/>
          <w:sz w:val="24"/>
          <w:szCs w:val="24"/>
          <w:lang w:eastAsia="uk-UA"/>
        </w:rPr>
        <w:t>203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0F4A0087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CA16B1" w:rsidRPr="00CA16B1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0348E7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5854BD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A16B1" w:rsidRPr="00CA16B1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5854BD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0348E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5854BD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0348E7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5854BD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A16B1" w:rsidRPr="00CA16B1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53C952F9" w:rsidR="00D12DA3" w:rsidRPr="00DC518A" w:rsidRDefault="00DC518A" w:rsidP="00DC518A">
      <w:pPr>
        <w:pStyle w:val="Default"/>
        <w:jc w:val="center"/>
        <w:rPr>
          <w:b/>
          <w:bCs/>
          <w:i/>
          <w:lang w:val="uk-UA"/>
        </w:rPr>
      </w:pPr>
      <w:r w:rsidRPr="00DC518A">
        <w:rPr>
          <w:b/>
          <w:bCs/>
          <w:i/>
          <w:lang w:val="uk-UA"/>
        </w:rPr>
        <w:t>Призначення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246"/>
        <w:gridCol w:w="6118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700C7E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700C7E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00BC9D58" w:rsidR="00D12DA3" w:rsidRPr="005A22AA" w:rsidRDefault="00D12DA3" w:rsidP="000348E7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0348E7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435B" w14:textId="77777777" w:rsidR="00700C7E" w:rsidRPr="00700C7E" w:rsidRDefault="00700C7E" w:rsidP="0070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700C7E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700C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700C7E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700C7E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54C4CA88" w14:textId="77777777" w:rsidR="00700C7E" w:rsidRPr="00700C7E" w:rsidRDefault="00700C7E" w:rsidP="0070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00C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3F4ED17A" w14:textId="54269B87" w:rsidR="00D12DA3" w:rsidRPr="00A53B63" w:rsidRDefault="005854BD" w:rsidP="00700C7E">
            <w:r w:rsidRPr="005854B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85D8" w14:textId="77777777" w:rsidR="00700C7E" w:rsidRPr="00700C7E" w:rsidRDefault="00700C7E" w:rsidP="00700C7E">
            <w:pPr>
              <w:pStyle w:val="Default"/>
              <w:rPr>
                <w:lang w:val="uk-UA"/>
              </w:rPr>
            </w:pPr>
            <w:r w:rsidRPr="00700C7E">
              <w:rPr>
                <w:lang w:val="en-US"/>
              </w:rPr>
              <w:t>Web</w:t>
            </w:r>
            <w:r w:rsidRPr="00700C7E">
              <w:rPr>
                <w:lang w:val="uk-UA"/>
              </w:rPr>
              <w:t xml:space="preserve">-сайт: </w:t>
            </w:r>
            <w:hyperlink r:id="rId9" w:history="1">
              <w:r w:rsidRPr="00700C7E">
                <w:rPr>
                  <w:rStyle w:val="a3"/>
                </w:rPr>
                <w:t>http</w:t>
              </w:r>
              <w:r w:rsidRPr="00700C7E">
                <w:rPr>
                  <w:rStyle w:val="a3"/>
                  <w:lang w:val="uk-UA"/>
                </w:rPr>
                <w:t>://</w:t>
              </w:r>
              <w:r w:rsidRPr="00700C7E">
                <w:rPr>
                  <w:rStyle w:val="a3"/>
                </w:rPr>
                <w:t>www</w:t>
              </w:r>
              <w:r w:rsidRPr="00700C7E">
                <w:rPr>
                  <w:rStyle w:val="a3"/>
                  <w:lang w:val="uk-UA"/>
                </w:rPr>
                <w:t>.</w:t>
              </w:r>
              <w:r w:rsidRPr="00700C7E">
                <w:rPr>
                  <w:rStyle w:val="a3"/>
                </w:rPr>
                <w:t>vmr</w:t>
              </w:r>
              <w:r w:rsidRPr="00700C7E">
                <w:rPr>
                  <w:rStyle w:val="a3"/>
                  <w:lang w:val="uk-UA"/>
                </w:rPr>
                <w:t>.</w:t>
              </w:r>
              <w:r w:rsidRPr="00700C7E">
                <w:rPr>
                  <w:rStyle w:val="a3"/>
                </w:rPr>
                <w:t>gov</w:t>
              </w:r>
              <w:r w:rsidRPr="00700C7E">
                <w:rPr>
                  <w:rStyle w:val="a3"/>
                  <w:lang w:val="uk-UA"/>
                </w:rPr>
                <w:t>.</w:t>
              </w:r>
              <w:proofErr w:type="spellStart"/>
              <w:r w:rsidRPr="00700C7E">
                <w:rPr>
                  <w:rStyle w:val="a3"/>
                </w:rPr>
                <w:t>ua</w:t>
              </w:r>
              <w:proofErr w:type="spellEnd"/>
            </w:hyperlink>
          </w:p>
          <w:p w14:paraId="26E9B298" w14:textId="77777777" w:rsidR="00700C7E" w:rsidRPr="00700C7E" w:rsidRDefault="00700C7E" w:rsidP="00700C7E">
            <w:pPr>
              <w:pStyle w:val="Default"/>
            </w:pPr>
            <w:r w:rsidRPr="00700C7E">
              <w:rPr>
                <w:lang w:val="en-US"/>
              </w:rPr>
              <w:t>Email</w:t>
            </w:r>
            <w:r w:rsidRPr="00700C7E">
              <w:t xml:space="preserve">: </w:t>
            </w:r>
            <w:hyperlink r:id="rId10" w:history="1">
              <w:r w:rsidRPr="00700C7E">
                <w:rPr>
                  <w:rStyle w:val="a3"/>
                  <w:lang w:val="en-US"/>
                </w:rPr>
                <w:t>gupszn</w:t>
              </w:r>
              <w:r w:rsidRPr="00700C7E">
                <w:rPr>
                  <w:rStyle w:val="a3"/>
                </w:rPr>
                <w:t>@</w:t>
              </w:r>
              <w:r w:rsidRPr="00700C7E">
                <w:rPr>
                  <w:rStyle w:val="a3"/>
                  <w:lang w:val="en-US"/>
                </w:rPr>
                <w:t>vmr</w:t>
              </w:r>
              <w:r w:rsidRPr="00700C7E">
                <w:rPr>
                  <w:rStyle w:val="a3"/>
                </w:rPr>
                <w:t>.</w:t>
              </w:r>
              <w:r w:rsidRPr="00700C7E">
                <w:rPr>
                  <w:rStyle w:val="a3"/>
                  <w:lang w:val="en-US"/>
                </w:rPr>
                <w:t>gov</w:t>
              </w:r>
              <w:r w:rsidRPr="00700C7E">
                <w:rPr>
                  <w:rStyle w:val="a3"/>
                </w:rPr>
                <w:t>.</w:t>
              </w:r>
              <w:proofErr w:type="spellStart"/>
              <w:r w:rsidRPr="00700C7E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6E754643" w14:textId="77777777" w:rsidR="00700C7E" w:rsidRPr="00700C7E" w:rsidRDefault="00700C7E" w:rsidP="00700C7E">
            <w:pPr>
              <w:pStyle w:val="Default"/>
              <w:rPr>
                <w:lang w:val="uk-UA"/>
              </w:rPr>
            </w:pPr>
            <w:r w:rsidRPr="00700C7E">
              <w:rPr>
                <w:lang w:val="uk-UA"/>
              </w:rPr>
              <w:t xml:space="preserve">Телефони ЦАП «Прозорий офіс» (Вишенька): </w:t>
            </w:r>
          </w:p>
          <w:p w14:paraId="24155866" w14:textId="77777777" w:rsidR="00700C7E" w:rsidRPr="00700C7E" w:rsidRDefault="00700C7E" w:rsidP="00700C7E">
            <w:pPr>
              <w:pStyle w:val="Default"/>
              <w:rPr>
                <w:lang w:val="uk-UA"/>
              </w:rPr>
            </w:pPr>
            <w:r w:rsidRPr="00700C7E">
              <w:rPr>
                <w:i/>
                <w:iCs/>
                <w:lang w:val="uk-UA"/>
              </w:rPr>
              <w:t xml:space="preserve"> пр. Космонавтів,30 - 50-91-33</w:t>
            </w:r>
            <w:r w:rsidRPr="00700C7E">
              <w:rPr>
                <w:i/>
                <w:iCs/>
              </w:rPr>
              <w:t>;  0971015840; 0638566272</w:t>
            </w:r>
          </w:p>
          <w:p w14:paraId="61ED15CC" w14:textId="77777777" w:rsidR="00700C7E" w:rsidRPr="00700C7E" w:rsidRDefault="00700C7E" w:rsidP="00700C7E">
            <w:pPr>
              <w:pStyle w:val="Default"/>
            </w:pPr>
            <w:r w:rsidRPr="00700C7E">
              <w:rPr>
                <w:lang w:val="uk-UA"/>
              </w:rPr>
              <w:t>Телефони ЦАП «Прозорий офіс» (Замостя):</w:t>
            </w:r>
          </w:p>
          <w:p w14:paraId="5F6A1DA8" w14:textId="77777777" w:rsidR="00700C7E" w:rsidRPr="00700C7E" w:rsidRDefault="00700C7E" w:rsidP="00700C7E">
            <w:pPr>
              <w:pStyle w:val="Default"/>
              <w:rPr>
                <w:i/>
                <w:iCs/>
                <w:lang w:val="uk-UA"/>
              </w:rPr>
            </w:pPr>
            <w:r w:rsidRPr="00700C7E">
              <w:rPr>
                <w:i/>
                <w:iCs/>
                <w:lang w:val="uk-UA"/>
              </w:rPr>
              <w:t>вул. Замостянська,7 -50-86-77</w:t>
            </w:r>
            <w:r w:rsidRPr="00700C7E">
              <w:rPr>
                <w:i/>
                <w:iCs/>
                <w:lang w:val="en-US"/>
              </w:rPr>
              <w:t>; 0971014518</w:t>
            </w:r>
            <w:r w:rsidRPr="00700C7E">
              <w:rPr>
                <w:i/>
                <w:iCs/>
                <w:lang w:val="uk-UA"/>
              </w:rPr>
              <w:t>; 0931908393</w:t>
            </w:r>
          </w:p>
          <w:p w14:paraId="4A8C5B87" w14:textId="05009B1D" w:rsidR="00D12DA3" w:rsidRPr="00897B75" w:rsidRDefault="00700C7E" w:rsidP="00700C7E">
            <w:pPr>
              <w:spacing w:after="0"/>
              <w:rPr>
                <w:rFonts w:ascii="Times New Roman" w:hAnsi="Times New Roman"/>
                <w:sz w:val="24"/>
              </w:rPr>
            </w:pPr>
            <w:r w:rsidRPr="00700C7E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5051C" w14:paraId="162EE82F" w14:textId="77777777" w:rsidTr="00700C7E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B69" w14:textId="0E0DADE1" w:rsidR="000348E7" w:rsidRPr="000348E7" w:rsidRDefault="009F7BE6" w:rsidP="000348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“Про статус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ветеранів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війни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гарантії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ïx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9F7B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”</w:t>
            </w:r>
            <w:r w:rsidR="000348E7" w:rsidRPr="000348E7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="000348E7" w:rsidRPr="000348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України «Про адміністративні </w:t>
            </w:r>
            <w:proofErr w:type="gramStart"/>
            <w:r w:rsidR="000348E7" w:rsidRPr="000348E7">
              <w:rPr>
                <w:rFonts w:ascii="Times New Roman" w:hAnsi="Times New Roman"/>
                <w:color w:val="000000"/>
                <w:sz w:val="24"/>
                <w:szCs w:val="24"/>
              </w:rPr>
              <w:t>послуги»  від</w:t>
            </w:r>
            <w:proofErr w:type="gramEnd"/>
            <w:r w:rsidR="000348E7" w:rsidRPr="000348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06.09.2012 р. № 5203-VI; </w:t>
            </w:r>
          </w:p>
          <w:p w14:paraId="50B04AB5" w14:textId="255EC29C" w:rsidR="00A5051C" w:rsidRPr="000348E7" w:rsidRDefault="000348E7" w:rsidP="00A935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8E7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5051C" w14:paraId="2C6CC902" w14:textId="77777777" w:rsidTr="00700C7E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3C8" w14:textId="04AFBD9B" w:rsidR="00A5051C" w:rsidRPr="00463588" w:rsidRDefault="009F7BE6" w:rsidP="009F7BE6">
            <w:pPr>
              <w:pStyle w:val="Default"/>
              <w:jc w:val="both"/>
              <w:rPr>
                <w:spacing w:val="-8"/>
                <w:lang w:val="uk-UA"/>
              </w:rPr>
            </w:pPr>
            <w:r w:rsidRPr="009F7BE6">
              <w:rPr>
                <w:spacing w:val="-8"/>
                <w:lang w:val="uk-UA"/>
              </w:rPr>
              <w:t>Постанова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Кабінету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Міністрів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України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від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29.04.2016</w:t>
            </w:r>
            <w:r>
              <w:rPr>
                <w:spacing w:val="-8"/>
                <w:lang w:val="uk-UA"/>
              </w:rPr>
              <w:t xml:space="preserve"> </w:t>
            </w:r>
            <w:r w:rsidRPr="009F7BE6">
              <w:rPr>
                <w:spacing w:val="-8"/>
                <w:lang w:val="uk-UA"/>
              </w:rPr>
              <w:t>№ 336 “Деякі</w:t>
            </w:r>
            <w:r>
              <w:rPr>
                <w:spacing w:val="-8"/>
                <w:lang w:val="uk-UA"/>
              </w:rPr>
              <w:t xml:space="preserve"> </w:t>
            </w:r>
            <w:r w:rsidR="00FB054D" w:rsidRPr="009F7BE6">
              <w:rPr>
                <w:spacing w:val="-8"/>
                <w:lang w:val="uk-UA"/>
              </w:rPr>
              <w:t>питання</w:t>
            </w:r>
            <w:r w:rsidRPr="009F7BE6">
              <w:rPr>
                <w:spacing w:val="-8"/>
                <w:lang w:val="uk-UA"/>
              </w:rPr>
              <w:t xml:space="preserve"> соціального захисту ветеранів війни та членів сімей Захисників i Захисниць України”</w:t>
            </w:r>
          </w:p>
        </w:tc>
      </w:tr>
      <w:tr w:rsidR="00D12DA3" w14:paraId="5DC09E2B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A1B1551" w:rsidR="00D12DA3" w:rsidRPr="009F7BE6" w:rsidRDefault="009F7BE6" w:rsidP="005854BD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F7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Наказ Міністерства у справах ветеранів України від 26.02.2021 № 43 “Про затвердження </w:t>
            </w:r>
            <w:r w:rsidR="00FB054D" w:rsidRPr="009F7BE6">
              <w:rPr>
                <w:rFonts w:ascii="Times New Roman" w:hAnsi="Times New Roman"/>
                <w:spacing w:val="-8"/>
                <w:sz w:val="24"/>
                <w:szCs w:val="24"/>
              </w:rPr>
              <w:t>Положення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a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o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інвалідності волонтера 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i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деяких інших категорій осіб відповідно до Закону України “Про статус ветеранів війни, гарантії ï</w:t>
            </w:r>
            <w:r w:rsidRPr="009F7BE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x</w:t>
            </w:r>
            <w:r w:rsidR="005854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соціального захисту” зі змінами</w:t>
            </w:r>
          </w:p>
        </w:tc>
      </w:tr>
      <w:tr w:rsidR="00D12DA3" w14:paraId="4252BF4B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8.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700C7E">
        <w:trPr>
          <w:trHeight w:val="6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762CB0D" w:rsidR="00D12DA3" w:rsidRPr="005A22AA" w:rsidRDefault="00A935EF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935EF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B80" w14:textId="4049D546" w:rsidR="00D12DA3" w:rsidRPr="005A22AA" w:rsidRDefault="00225B80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Звернення особи в разі загибелі (смерті) a6o інвалідності деяких категорій осіб відповідно до Закону України “Про статус ветеранів війни, гарантії </w:t>
            </w:r>
            <w:proofErr w:type="spellStart"/>
            <w:r w:rsidRPr="00225B80">
              <w:rPr>
                <w:rFonts w:ascii="Times New Roman" w:hAnsi="Times New Roman"/>
                <w:spacing w:val="-8"/>
                <w:sz w:val="24"/>
                <w:szCs w:val="24"/>
              </w:rPr>
              <w:t>ïx</w:t>
            </w:r>
            <w:proofErr w:type="spellEnd"/>
            <w:r w:rsidRPr="00225B8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соціального захисту”</w:t>
            </w:r>
          </w:p>
        </w:tc>
      </w:tr>
      <w:tr w:rsidR="00D12DA3" w14:paraId="2DAEC472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 w:rsidP="005854BD">
            <w:pPr>
              <w:pStyle w:val="Default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1A2" w14:textId="77777777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B80">
              <w:rPr>
                <w:rFonts w:ascii="Times New Roman" w:hAnsi="Times New Roman"/>
                <w:b/>
                <w:sz w:val="24"/>
                <w:szCs w:val="24"/>
              </w:rPr>
              <w:t>Для осіб з інвалідністю внаслідок війни:</w:t>
            </w:r>
          </w:p>
          <w:p w14:paraId="641C996C" w14:textId="127FFA64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Заява згідно з Додатком 2 до Порядку призначення та виплати одноразової грошової допомоги в разі загибелі (смерті) a6o інвалідності деяких категорій осіб відповідно до Закону України “Про статус ветеранів війни,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гарантії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B80">
              <w:rPr>
                <w:rFonts w:ascii="Times New Roman" w:hAnsi="Times New Roman"/>
                <w:sz w:val="24"/>
                <w:szCs w:val="24"/>
              </w:rPr>
              <w:t>ïx</w:t>
            </w:r>
            <w:proofErr w:type="spellEnd"/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соціального захисту”, затвердженого постановою Кабінету Міністрів України від 29.04.2016</w:t>
            </w:r>
          </w:p>
          <w:p w14:paraId="3836BF91" w14:textId="77777777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№ 336 .</w:t>
            </w:r>
          </w:p>
          <w:p w14:paraId="275FF6C4" w14:textId="1E4F285C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2.Копія посвідчення особи з інвалідністю внаслідок війни.</w:t>
            </w:r>
          </w:p>
          <w:p w14:paraId="49372940" w14:textId="33D6744A" w:rsid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3.Копія довідки медико-соціальної експертної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комісії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про встановлення групи інвалідності.</w:t>
            </w:r>
          </w:p>
          <w:p w14:paraId="7FE2850E" w14:textId="60AA9195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4.Копія документа, що посвідчує особу заявника, а у разі подання документів законним представником a6o уповноваженою особою — документів, що посвідчують особу тих осіб, від імені яких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подоється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заява, а також документа, який надає повноваження законному представнику a6o уповноваженій особі представляти таких осіб, оформленого відповідно до законодавства.</w:t>
            </w:r>
          </w:p>
          <w:p w14:paraId="30176FD6" w14:textId="21C39821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5.Документа, що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засвідчує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реєстрацію фізичної особи у Державному реєстрі фізичних осіб - платників податків, виданого органом доходів i зборів (для фізичної особи, яка через свої релігійні переконання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відмовляється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від прийняття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реєстраційного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номера облікової картки платника податків, офіційно повідомила про це відповідний орган доходів i зборів i має відповідну відмітку в паспорті громадянина України, - копію сторінки паспорта з такою відміткою).</w:t>
            </w:r>
          </w:p>
          <w:p w14:paraId="7B0332BA" w14:textId="77777777" w:rsid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431EC2" w14:textId="7902C9C3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B80">
              <w:rPr>
                <w:rFonts w:ascii="Times New Roman" w:hAnsi="Times New Roman"/>
                <w:b/>
                <w:sz w:val="24"/>
                <w:szCs w:val="24"/>
              </w:rPr>
              <w:t>Для членів сімей загиблих (померлих) Захисників та Захисниць України:</w:t>
            </w:r>
          </w:p>
          <w:p w14:paraId="06FFB7F2" w14:textId="77870FD6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Заява згідно Додатку 1 до Порядку призначення та виплати одноразової грошової допомоги в </w:t>
            </w:r>
            <w:proofErr w:type="spellStart"/>
            <w:r w:rsidRPr="00225B80">
              <w:rPr>
                <w:rFonts w:ascii="Times New Roman" w:hAnsi="Times New Roman"/>
                <w:sz w:val="24"/>
                <w:szCs w:val="24"/>
              </w:rPr>
              <w:t>разi</w:t>
            </w:r>
            <w:proofErr w:type="spellEnd"/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загибелі (смерті) a6o інвалідності деяких категорій осіб відповідно до Закону України “Про статус ветеранів війни, гарантії </w:t>
            </w:r>
            <w:proofErr w:type="spellStart"/>
            <w:r w:rsidRPr="00225B80">
              <w:rPr>
                <w:rFonts w:ascii="Times New Roman" w:hAnsi="Times New Roman"/>
                <w:sz w:val="24"/>
                <w:szCs w:val="24"/>
              </w:rPr>
              <w:t>ïx</w:t>
            </w:r>
            <w:proofErr w:type="spellEnd"/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соціального захисту”, затвердженого постановою Кабінету Міністрів України від 29.04.2016</w:t>
            </w:r>
          </w:p>
          <w:p w14:paraId="1B406CA0" w14:textId="77777777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№ 336.</w:t>
            </w:r>
          </w:p>
          <w:p w14:paraId="1193ED76" w14:textId="7AC69B11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2.Копія посвідчення члена сім’ї загиблого Захисника чи Захисниці України.</w:t>
            </w:r>
          </w:p>
          <w:p w14:paraId="730993F4" w14:textId="3037C3DA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3.Копія свідоцтва про смерть загиблого (померлого).</w:t>
            </w:r>
          </w:p>
          <w:p w14:paraId="517DF628" w14:textId="4EA0526D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Копія свідоцтва про народження — для виплати одноразової грошової допомоги батькам загиблого (померлого).</w:t>
            </w:r>
          </w:p>
          <w:p w14:paraId="68593E29" w14:textId="53E9E26D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Копія свідоцтва про шлю6 — для виплати грошової допомоги дружині (чоловікові).</w:t>
            </w:r>
          </w:p>
          <w:p w14:paraId="4C7F9796" w14:textId="35687AEA" w:rsid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Копія документа, що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посвідчує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oco6y заявника, а у разі подання документів законним представником </w:t>
            </w:r>
            <w:proofErr w:type="spellStart"/>
            <w:r w:rsidRPr="00225B80">
              <w:rPr>
                <w:rFonts w:ascii="Times New Roman" w:hAnsi="Times New Roman"/>
                <w:sz w:val="24"/>
                <w:szCs w:val="24"/>
              </w:rPr>
              <w:t>aбo</w:t>
            </w:r>
            <w:proofErr w:type="spellEnd"/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уповноваженою особою — документів, що посвідчують особу тих осіб, від імені яких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подається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заява, а також документа, який надає</w:t>
            </w:r>
          </w:p>
          <w:p w14:paraId="6CC6DFBA" w14:textId="70D97EEF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законному   представнику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ab/>
              <w:t xml:space="preserve">a6o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повноваженій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особі представляти таких осіб, оформленого відповідно до законодавства.</w:t>
            </w:r>
          </w:p>
          <w:p w14:paraId="2481E70C" w14:textId="4F8C1D48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7.Копія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свідоцтва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народження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—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виплати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одноразової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грошової допомоги дитині.</w:t>
            </w:r>
          </w:p>
          <w:p w14:paraId="2689703B" w14:textId="39492DB8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Копія документа, що засвідчує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фізичної особи у Державному реєстрі фізичних осіб - платників податків, виданого органом доходів i зборів (для фізичної особи, яка через свої релігійні переконання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відмовляється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від прийняття реєстраційного номера облікової картки платника податків, офіційно повідомила про це відповідний орган доходів i зборів i мас відповідну відмітку в паспорті громадянина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, - копію сторінки паспорта з такою відміткою).</w:t>
            </w:r>
          </w:p>
          <w:p w14:paraId="01A35C1B" w14:textId="5BF6EA24" w:rsidR="00225B80" w:rsidRPr="00225B80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9.Копія рішення районної, районної у мм. Києві та Севастополі держадміністрації, виконавчого органу міської, районної у місті (у разі </w:t>
            </w:r>
            <w:proofErr w:type="spellStart"/>
            <w:r w:rsidRPr="00225B80">
              <w:rPr>
                <w:rFonts w:ascii="Times New Roman" w:hAnsi="Times New Roman"/>
                <w:sz w:val="24"/>
                <w:szCs w:val="24"/>
              </w:rPr>
              <w:t>ïx</w:t>
            </w:r>
            <w:proofErr w:type="spellEnd"/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створення), сільської, селищної ради a6o суду про встановлення опіки чи піклування над дитиною-сиротою, дитиною, позбавленою батьківського піклування (у разі здійснення опіки a6o піклування над дітьми загиблих (померлих).</w:t>
            </w:r>
          </w:p>
          <w:p w14:paraId="66C4F9C4" w14:textId="5D460337" w:rsidR="004020D4" w:rsidRPr="008C0C32" w:rsidRDefault="00225B80" w:rsidP="005854BD">
            <w:pPr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10.Копія рішення суду a6o нотаріально посвідченого правочину, що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факт перебування заявника на утриманні загиблого (померлого) (подають особи, які не були членами сім’ї загиблого (померлого), але перебували на його утриманні).</w:t>
            </w:r>
          </w:p>
        </w:tc>
      </w:tr>
      <w:tr w:rsidR="00531505" w14:paraId="74C8D150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39A8EF88" w:rsidR="00531505" w:rsidRPr="005A22AA" w:rsidRDefault="00225B80" w:rsidP="005854BD">
            <w:pPr>
              <w:pStyle w:val="Default"/>
              <w:rPr>
                <w:lang w:val="uk-UA"/>
              </w:rPr>
            </w:pPr>
            <w:r w:rsidRPr="00225B80">
              <w:rPr>
                <w:i/>
                <w:iCs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582" w14:textId="70D89CDF" w:rsidR="00531505" w:rsidRPr="00A935EF" w:rsidRDefault="00225B80" w:rsidP="005854B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 або поштою</w:t>
            </w:r>
          </w:p>
        </w:tc>
      </w:tr>
      <w:tr w:rsidR="00531505" w14:paraId="6C7D378A" w14:textId="77777777" w:rsidTr="00700C7E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5A" w14:textId="1DFF4CF5" w:rsidR="00531505" w:rsidRPr="005A22AA" w:rsidRDefault="00531505" w:rsidP="005854BD">
            <w:pPr>
              <w:pStyle w:val="Default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0D0" w14:textId="603DC319" w:rsidR="00531505" w:rsidRPr="00531505" w:rsidRDefault="00225B80" w:rsidP="005854BD">
            <w:pPr>
              <w:pStyle w:val="Default"/>
              <w:rPr>
                <w:lang w:val="uk-UA"/>
              </w:rPr>
            </w:pPr>
            <w:r w:rsidRPr="00225B80">
              <w:rPr>
                <w:lang w:val="uk-UA"/>
              </w:rPr>
              <w:t>Безоплатно</w:t>
            </w:r>
          </w:p>
        </w:tc>
      </w:tr>
      <w:tr w:rsidR="00531505" w14:paraId="45F12F6A" w14:textId="77777777" w:rsidTr="00700C7E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854BD">
            <w:pPr>
              <w:pStyle w:val="Default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8F8" w14:textId="0C4D7008" w:rsidR="00531505" w:rsidRPr="00FB054D" w:rsidRDefault="00225B80" w:rsidP="005854BD">
            <w:pPr>
              <w:spacing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B054D">
              <w:rPr>
                <w:rFonts w:ascii="Times New Roman" w:hAnsi="Times New Roman"/>
                <w:spacing w:val="-8"/>
                <w:sz w:val="24"/>
                <w:szCs w:val="24"/>
              </w:rPr>
              <w:t>30 календарних днів з дня надходження заяви (уточненої інформації)</w:t>
            </w:r>
          </w:p>
        </w:tc>
      </w:tr>
      <w:tr w:rsidR="00D12DA3" w14:paraId="587051F6" w14:textId="77777777" w:rsidTr="00700C7E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 w:rsidP="005854BD">
            <w:pPr>
              <w:pStyle w:val="Default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4FA" w14:textId="21055EE4" w:rsidR="00225B80" w:rsidRPr="00225B80" w:rsidRDefault="00225B80" w:rsidP="00585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1.Якщо загибель (смерть) є наслідком: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вчинення ними злочину a6o адміністративного правопорушення;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вчинення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ними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дій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стані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алкогольн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ого, наркотичного чи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токсичного сп’яніння;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навмисного спричинення собі тілесного ушкодження чи іншої шкоди своєму здоров’ю a6o самогубства (крім факту доведення особи до самогубства, встановленого судом);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подання неправдивих відомостей для призначення та виплати одноразової грошової допомоги.</w:t>
            </w:r>
          </w:p>
          <w:p w14:paraId="438BB2AF" w14:textId="21B8C777" w:rsidR="00225B80" w:rsidRPr="00225B80" w:rsidRDefault="00225B80" w:rsidP="00585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У разі отримання від органів, уповноважених виплачувати одноразову грошову допомогу відповідно до інших законів, крім Закону України “Про статус ветеранів війни, </w:t>
            </w:r>
            <w:r w:rsidR="00FB054D"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гарантії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ïx</w:t>
            </w:r>
            <w:proofErr w:type="spellEnd"/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соціального захисту”, інформації стосовно призначення такої допомоги особам, щодо яких здійснено запит;</w:t>
            </w:r>
          </w:p>
          <w:p w14:paraId="6152AF53" w14:textId="362B3F3B" w:rsidR="00225B80" w:rsidRPr="00225B80" w:rsidRDefault="00225B80" w:rsidP="00585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lastRenderedPageBreak/>
              <w:t>3.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У разі подання заяви особою, якій вже призначено одноразову грошову допомогу відповідно до Закону </w:t>
            </w:r>
            <w:r w:rsidR="00FB054D"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України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“Про статус ветеранів війни, гарантії </w:t>
            </w:r>
            <w:proofErr w:type="spellStart"/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ïx</w:t>
            </w:r>
            <w:proofErr w:type="spellEnd"/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соціального захисту” (далі — Закон), крім осіб, які реалізували </w:t>
            </w:r>
            <w:r w:rsidR="00FB054D"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своє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право на отримання одноразової грошової допомоги згідно із Законом, після первинного встановлення інвалідності під час повторного огляду встановлено вищу групу інвалідності згідно з рішенням медико-соціальної експертної </w:t>
            </w:r>
            <w:r w:rsidR="00FB054D"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комісії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, що да</w:t>
            </w:r>
            <w:r w:rsidR="00FB054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є</w:t>
            </w: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їм право на отримання одноразової грошової допомоги в більшому розмірі, виплата проводиться з урахуванням раніше виплаченої згідно із Законом суми.</w:t>
            </w:r>
          </w:p>
          <w:p w14:paraId="137A5DE2" w14:textId="49D45D57" w:rsidR="00D12DA3" w:rsidRPr="008C0C32" w:rsidRDefault="00225B80" w:rsidP="005854B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225B8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4.У разі виявлення факту подання недостовірної інформації a6o підробки поданих документів.</w:t>
            </w:r>
          </w:p>
        </w:tc>
      </w:tr>
      <w:tr w:rsidR="00531505" w14:paraId="0ABF0E18" w14:textId="77777777" w:rsidTr="00700C7E">
        <w:trPr>
          <w:trHeight w:val="102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854BD">
            <w:pPr>
              <w:pStyle w:val="Default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15.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854BD">
            <w:pPr>
              <w:pStyle w:val="Default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78C55D0E" w14:textId="0B6E7FC0" w:rsidR="00531505" w:rsidRPr="008C0C32" w:rsidRDefault="00531505" w:rsidP="005854BD">
            <w:pPr>
              <w:spacing w:line="240" w:lineRule="auto"/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92B" w14:textId="5D680327" w:rsidR="00531505" w:rsidRPr="008C0C32" w:rsidRDefault="00225B80" w:rsidP="005854B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Рішення про призначення (відмову у призначенні) одноразової грошової допомоги</w:t>
            </w:r>
          </w:p>
        </w:tc>
      </w:tr>
      <w:tr w:rsidR="00DA55F1" w14:paraId="0E073E38" w14:textId="77777777" w:rsidTr="00700C7E">
        <w:trPr>
          <w:trHeight w:val="102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A56" w14:textId="73C9551D" w:rsidR="00DA55F1" w:rsidRPr="005A22AA" w:rsidRDefault="00DA55F1" w:rsidP="005854B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81E" w14:textId="0A37CD86" w:rsidR="00DA55F1" w:rsidRPr="005A22AA" w:rsidRDefault="00DA55F1" w:rsidP="005854BD">
            <w:pPr>
              <w:pStyle w:val="Default"/>
              <w:rPr>
                <w:i/>
                <w:iCs/>
                <w:lang w:val="uk-UA"/>
              </w:rPr>
            </w:pPr>
            <w:r w:rsidRPr="00DA55F1">
              <w:rPr>
                <w:i/>
                <w:iCs/>
                <w:lang w:val="uk-UA"/>
              </w:rPr>
              <w:t>Способи отримання відповіді (результату)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29F" w14:textId="034A4350" w:rsidR="00225B80" w:rsidRPr="00225B80" w:rsidRDefault="00225B80" w:rsidP="00585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 xml:space="preserve">1.Результат надання адміністративної послуги </w:t>
            </w:r>
            <w:r w:rsidR="00FB054D" w:rsidRPr="00225B80">
              <w:rPr>
                <w:rFonts w:ascii="Times New Roman" w:hAnsi="Times New Roman"/>
                <w:sz w:val="24"/>
                <w:szCs w:val="24"/>
              </w:rPr>
              <w:t>отримується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безпосередньо у Міністерстві у справах ветеранів України.</w:t>
            </w:r>
          </w:p>
          <w:p w14:paraId="0E73DD8E" w14:textId="34114F3E" w:rsidR="00DA55F1" w:rsidRDefault="00225B80" w:rsidP="00585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B80">
              <w:rPr>
                <w:rFonts w:ascii="Times New Roman" w:hAnsi="Times New Roman"/>
                <w:sz w:val="24"/>
                <w:szCs w:val="24"/>
              </w:rPr>
              <w:t>2.Рішення надання</w:t>
            </w:r>
            <w:r w:rsidR="00FB054D">
              <w:rPr>
                <w:rFonts w:ascii="Times New Roman" w:hAnsi="Times New Roman"/>
                <w:sz w:val="24"/>
                <w:szCs w:val="24"/>
              </w:rPr>
              <w:t xml:space="preserve"> адміністративної послуги отримує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>ться  у центрі надання адміністративн</w:t>
            </w:r>
            <w:r w:rsidR="00FB054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225B80">
              <w:rPr>
                <w:rFonts w:ascii="Times New Roman" w:hAnsi="Times New Roman"/>
                <w:sz w:val="24"/>
                <w:szCs w:val="24"/>
              </w:rPr>
              <w:t xml:space="preserve"> послуг.</w:t>
            </w:r>
          </w:p>
        </w:tc>
      </w:tr>
    </w:tbl>
    <w:p w14:paraId="3E619445" w14:textId="163C65F6" w:rsidR="00D12DA3" w:rsidRDefault="00D12DA3" w:rsidP="005854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03AA7" w14:textId="77777777" w:rsidR="002E6A61" w:rsidRDefault="002E6A61" w:rsidP="005854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5854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5854B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5854BD">
      <w:pPr>
        <w:spacing w:after="0" w:line="240" w:lineRule="auto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B43932">
        <w:rPr>
          <w:rFonts w:ascii="Times New Roman" w:hAnsi="Times New Roman"/>
          <w:sz w:val="28"/>
          <w:szCs w:val="28"/>
        </w:rPr>
        <w:t xml:space="preserve">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48E7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20037C"/>
    <w:rsid w:val="00225B80"/>
    <w:rsid w:val="00227147"/>
    <w:rsid w:val="00286E0C"/>
    <w:rsid w:val="00293BF0"/>
    <w:rsid w:val="002E2099"/>
    <w:rsid w:val="002E6A61"/>
    <w:rsid w:val="00300EE2"/>
    <w:rsid w:val="00332CF0"/>
    <w:rsid w:val="003F6001"/>
    <w:rsid w:val="004020D4"/>
    <w:rsid w:val="00423A79"/>
    <w:rsid w:val="0043764E"/>
    <w:rsid w:val="004475D9"/>
    <w:rsid w:val="00463588"/>
    <w:rsid w:val="00482B05"/>
    <w:rsid w:val="004C4291"/>
    <w:rsid w:val="004C718C"/>
    <w:rsid w:val="00500063"/>
    <w:rsid w:val="00503D7A"/>
    <w:rsid w:val="005119F5"/>
    <w:rsid w:val="00531505"/>
    <w:rsid w:val="00534CA8"/>
    <w:rsid w:val="00564B3B"/>
    <w:rsid w:val="005854BD"/>
    <w:rsid w:val="005A22AA"/>
    <w:rsid w:val="005B4E32"/>
    <w:rsid w:val="005D0652"/>
    <w:rsid w:val="005D33A0"/>
    <w:rsid w:val="00601E0E"/>
    <w:rsid w:val="006624DF"/>
    <w:rsid w:val="00665842"/>
    <w:rsid w:val="006B5905"/>
    <w:rsid w:val="006C121E"/>
    <w:rsid w:val="006D6B94"/>
    <w:rsid w:val="006F6B2E"/>
    <w:rsid w:val="00700C7E"/>
    <w:rsid w:val="007035E0"/>
    <w:rsid w:val="007067D5"/>
    <w:rsid w:val="0074115E"/>
    <w:rsid w:val="007A5842"/>
    <w:rsid w:val="00857D12"/>
    <w:rsid w:val="0087675F"/>
    <w:rsid w:val="008921A3"/>
    <w:rsid w:val="00897B75"/>
    <w:rsid w:val="008C0C32"/>
    <w:rsid w:val="008D57AD"/>
    <w:rsid w:val="00915959"/>
    <w:rsid w:val="009467DF"/>
    <w:rsid w:val="009B52D5"/>
    <w:rsid w:val="009E3EE2"/>
    <w:rsid w:val="009F7BE6"/>
    <w:rsid w:val="00A02999"/>
    <w:rsid w:val="00A5051C"/>
    <w:rsid w:val="00A53B63"/>
    <w:rsid w:val="00A621A9"/>
    <w:rsid w:val="00A935EF"/>
    <w:rsid w:val="00AA329A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CA16B1"/>
    <w:rsid w:val="00CB3153"/>
    <w:rsid w:val="00D015F4"/>
    <w:rsid w:val="00D12DA3"/>
    <w:rsid w:val="00D172D8"/>
    <w:rsid w:val="00D5378B"/>
    <w:rsid w:val="00D6758D"/>
    <w:rsid w:val="00DA55F1"/>
    <w:rsid w:val="00DC518A"/>
    <w:rsid w:val="00DC62DE"/>
    <w:rsid w:val="00E17519"/>
    <w:rsid w:val="00E31ABD"/>
    <w:rsid w:val="00E371B9"/>
    <w:rsid w:val="00EC07B2"/>
    <w:rsid w:val="00EC3E0B"/>
    <w:rsid w:val="00F0159D"/>
    <w:rsid w:val="00F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FUA27UETQC2X-86-177224</_dlc_DocId>
    <_dlc_DocIdUrl xmlns="c27bb2c1-a177-45d1-b251-525dd66ab087">
      <Url>http://dpszn.vmr.gov.ua/vk/_layouts/DocIdRedir.aspx?ID=FUA27UETQC2X-86-177224</Url>
      <Description>FUA27UETQC2X-86-177224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36</cp:revision>
  <cp:lastPrinted>2024-01-19T15:31:00Z</cp:lastPrinted>
  <dcterms:created xsi:type="dcterms:W3CDTF">2020-01-20T08:36:00Z</dcterms:created>
  <dcterms:modified xsi:type="dcterms:W3CDTF">2025-02-18T08:34:00Z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eb94f02e-8bd5-4572-8bae-135cbd53ce19</vt:lpwstr>
  </property>
</Properties>
</file>